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9"/>
        <w:tblW w:w="100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56"/>
        <w:gridCol w:w="5409"/>
      </w:tblGrid>
      <w:tr>
        <w:tblPrEx/>
        <w:trPr>
          <w:trHeight w:val="994"/>
        </w:trPr>
        <w:tc>
          <w:tcPr>
            <w:tcW w:w="45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811591" cy="1190625"/>
                      <wp:effectExtent l="0" t="0" r="8255" b="0"/>
                      <wp:docPr id="1" name="Рисунок 1" descr="C:\Users\gomanenko_gv\Desktop\герб длинный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gomanenko_gv\Desktop\герб длинный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891070" cy="122428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221.39pt;height:93.75pt;mso-wrap-distance-left:0.00pt;mso-wrap-distance-top:0.00pt;mso-wrap-distance-right:0.00pt;mso-wrap-distance-bottom:0.00pt;" stroked="f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559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jc w:val="right"/>
              <w:rPr>
                <w:rFonts w:ascii="Inter V" w:hAnsi="Inter V" w:cs="Times New Roman"/>
                <w:b/>
              </w:rPr>
            </w:pP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</w:p>
        </w:tc>
      </w:tr>
    </w:tbl>
    <w:p>
      <w:pPr>
        <w:jc w:val="right"/>
        <w:spacing w:line="240" w:lineRule="auto"/>
        <w:tabs>
          <w:tab w:val="left" w:pos="567" w:leader="none"/>
        </w:tabs>
        <w:rPr>
          <w:rFonts w:ascii="PT Astra Sans" w:hAnsi="PT Astra Sans" w:cs="PT Astra Sans"/>
          <w:color w:val="202122"/>
          <w:sz w:val="26"/>
          <w:szCs w:val="26"/>
          <w:shd w:val="clear" w:color="auto" w:fill="ffffff"/>
        </w:rPr>
      </w:pPr>
      <w:r>
        <w:rPr>
          <w:rFonts w:ascii="PT Astra Sans" w:hAnsi="PT Astra Sans" w:eastAsia="PT Astra Sans" w:cs="PT Astra Sans"/>
          <w:color w:val="202122"/>
          <w:sz w:val="26"/>
          <w:szCs w:val="26"/>
          <w:shd w:val="clear" w:color="auto" w:fill="ffffff"/>
        </w:rPr>
        <w:t xml:space="preserve">13 февраля 2025 года</w:t>
      </w:r>
      <w:r>
        <w:rPr>
          <w:rFonts w:ascii="PT Astra Sans" w:hAnsi="PT Astra Sans" w:cs="PT Astra Sans"/>
          <w:color w:val="202122"/>
          <w:sz w:val="26"/>
          <w:szCs w:val="26"/>
          <w:shd w:val="clear" w:color="auto" w:fill="ffffff"/>
        </w:rPr>
      </w:r>
      <w:r>
        <w:rPr>
          <w:rFonts w:ascii="PT Astra Sans" w:hAnsi="PT Astra Sans" w:cs="PT Astra Sans"/>
          <w:color w:val="202122"/>
          <w:sz w:val="26"/>
          <w:szCs w:val="26"/>
          <w:shd w:val="clear" w:color="auto" w:fill="ffffff"/>
        </w:rPr>
      </w:r>
    </w:p>
    <w:p>
      <w:pPr>
        <w:rPr>
          <w:rFonts w:ascii="PT Astra Sans" w:hAnsi="PT Astra Sans" w:cs="PT Astra Sans"/>
          <w:sz w:val="22"/>
          <w:szCs w:val="22"/>
        </w:rPr>
      </w:pPr>
      <w:r>
        <w:rPr>
          <w:rFonts w:ascii="PT Astra Sans" w:hAnsi="PT Astra Sans" w:eastAsia="PT Astra Sans" w:cs="PT Astra Sans"/>
          <w:sz w:val="22"/>
          <w:szCs w:val="22"/>
        </w:rPr>
      </w:r>
      <w:r>
        <w:rPr>
          <w:rFonts w:ascii="PT Astra Sans" w:hAnsi="PT Astra Sans" w:cs="PT Astra Sans"/>
          <w:sz w:val="22"/>
          <w:szCs w:val="22"/>
        </w:rPr>
      </w:r>
      <w:r>
        <w:rPr>
          <w:rFonts w:ascii="PT Astra Sans" w:hAnsi="PT Astra Sans" w:cs="PT Astra Sans"/>
          <w:sz w:val="22"/>
          <w:szCs w:val="22"/>
        </w:rPr>
      </w:r>
    </w:p>
    <w:p>
      <w:pPr>
        <w:ind w:left="0" w:right="0" w:firstLine="0"/>
        <w:jc w:val="both"/>
      </w:pPr>
      <w:r>
        <w:rPr>
          <w:rFonts w:ascii="PT Astra Serif" w:hAnsi="PT Astra Serif" w:cs="PT Astra Serif"/>
          <w:b/>
          <w:bCs/>
          <w:sz w:val="24"/>
          <w:szCs w:val="24"/>
        </w:rPr>
        <w:t xml:space="preserve">Комплексные кадастровые работы: более 22 тысяч участков и более 10 тысяч исправленных ошибок</w:t>
      </w:r>
      <w:r>
        <w:rPr>
          <w:rFonts w:ascii="PT Astra Serif" w:hAnsi="PT Astra Serif" w:cs="PT Astra Serif"/>
          <w:sz w:val="24"/>
          <w:szCs w:val="24"/>
        </w:rPr>
        <w:t xml:space="preserve"> </w:t>
      </w:r>
      <w:r>
        <w:rPr>
          <w:rFonts w:ascii="PT Astra Serif" w:hAnsi="PT Astra Serif" w:cs="PT Astra Serif"/>
          <w:sz w:val="24"/>
          <w:szCs w:val="24"/>
        </w:rPr>
      </w:r>
      <w:r/>
    </w:p>
    <w:p>
      <w:pPr>
        <w:ind w:left="0" w:right="0" w:firstLine="0"/>
        <w:jc w:val="both"/>
      </w:pP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  <w:r/>
    </w:p>
    <w:p>
      <w:pPr>
        <w:ind w:left="0" w:right="0" w:firstLine="0"/>
        <w:jc w:val="both"/>
      </w:pPr>
      <w:r>
        <w:rPr>
          <w:rFonts w:ascii="PT Astra Serif" w:hAnsi="PT Astra Serif" w:cs="PT Astra Serif"/>
          <w:sz w:val="24"/>
          <w:szCs w:val="24"/>
        </w:rPr>
        <w:t xml:space="preserve">Управление Росреестра по Иркутской области сообщает, что в 2024 году на территории 68 кадастровых кварталов Иркутского района были проведены комплексные кадастровые работы.</w:t>
      </w:r>
      <w:r>
        <w:rPr>
          <w:rFonts w:ascii="PT Astra Serif" w:hAnsi="PT Astra Serif" w:cs="PT Astra Serif"/>
          <w:sz w:val="24"/>
          <w:szCs w:val="24"/>
        </w:rPr>
      </w:r>
      <w:r/>
    </w:p>
    <w:p>
      <w:pPr>
        <w:ind w:left="0" w:right="0" w:firstLine="0"/>
        <w:jc w:val="both"/>
      </w:pPr>
      <w:r>
        <w:rPr>
          <w:rFonts w:ascii="PT Astra Serif" w:hAnsi="PT Astra Serif" w:cs="PT Astra Serif"/>
          <w:sz w:val="24"/>
          <w:szCs w:val="24"/>
        </w:rPr>
        <w:t xml:space="preserve">В соответствии с законодательством комплексные кадастровые работы были выполнены одновременно в отношении всех объектов недвижимости, расположенных на этой значительной территории.</w:t>
      </w:r>
      <w:r>
        <w:rPr>
          <w:rFonts w:ascii="PT Astra Serif" w:hAnsi="PT Astra Serif" w:cs="PT Astra Serif"/>
          <w:sz w:val="24"/>
          <w:szCs w:val="24"/>
        </w:rPr>
      </w:r>
      <w:r/>
    </w:p>
    <w:p>
      <w:pPr>
        <w:ind w:left="0" w:right="0" w:firstLine="0"/>
        <w:jc w:val="both"/>
      </w:pPr>
      <w:r>
        <w:rPr>
          <w:rFonts w:ascii="PT Astra Serif" w:hAnsi="PT Astra Serif" w:cs="PT Astra Serif"/>
          <w:sz w:val="24"/>
          <w:szCs w:val="24"/>
        </w:rPr>
        <w:t xml:space="preserve">Нужно отметить, что комплексные кадастровые работы в 2024 году были проведены в отношении более чем 22 тысяч объектов недвижимости.</w:t>
      </w:r>
      <w:r>
        <w:rPr>
          <w:rFonts w:ascii="PT Astra Serif" w:hAnsi="PT Astra Serif" w:cs="PT Astra Serif"/>
          <w:sz w:val="24"/>
          <w:szCs w:val="24"/>
        </w:rPr>
      </w:r>
      <w:r/>
    </w:p>
    <w:p>
      <w:pPr>
        <w:ind w:left="0" w:right="0" w:firstLine="0"/>
        <w:jc w:val="both"/>
      </w:pPr>
      <w:r>
        <w:rPr>
          <w:rFonts w:ascii="PT Astra Serif" w:hAnsi="PT Astra Serif" w:cs="PT Astra Serif"/>
          <w:sz w:val="24"/>
          <w:szCs w:val="24"/>
        </w:rPr>
        <w:t xml:space="preserve">В результате таких работ уточнялись границы земельных участков и местоположение на участках зданий, при необходимости образовывались земельные участки и исправлялись реестровые ошибки.</w:t>
      </w:r>
      <w:r>
        <w:rPr>
          <w:rFonts w:ascii="PT Astra Serif" w:hAnsi="PT Astra Serif" w:cs="PT Astra Serif"/>
          <w:sz w:val="24"/>
          <w:szCs w:val="24"/>
        </w:rPr>
      </w:r>
      <w:r/>
    </w:p>
    <w:p>
      <w:pPr>
        <w:ind w:left="0" w:right="0" w:firstLine="0"/>
        <w:jc w:val="both"/>
      </w:pPr>
      <w:r>
        <w:rPr>
          <w:rFonts w:ascii="PT Astra Serif" w:hAnsi="PT Astra Serif" w:cs="PT Astra Serif"/>
          <w:sz w:val="24"/>
          <w:szCs w:val="24"/>
        </w:rPr>
        <w:t xml:space="preserve">Итогом проведения комплексных кадастровых работ стало внесение в Единый государственный реестр недвижимости актуальных сведений о границах земельных участков, зданий, сооружений, объектов незавершенного строительства.</w:t>
      </w:r>
      <w:r>
        <w:rPr>
          <w:rFonts w:ascii="PT Astra Serif" w:hAnsi="PT Astra Serif" w:cs="PT Astra Serif"/>
          <w:sz w:val="24"/>
          <w:szCs w:val="24"/>
        </w:rPr>
      </w:r>
      <w:r/>
    </w:p>
    <w:p>
      <w:pPr>
        <w:ind w:left="0" w:right="0" w:firstLine="0"/>
        <w:jc w:val="both"/>
        <w:rPr>
          <w:rFonts w:ascii="PT Astra Serif" w:hAnsi="PT Astra Serif" w:cs="PT Astra Serif"/>
          <w:sz w:val="24"/>
          <w:szCs w:val="24"/>
          <w:highlight w:val="none"/>
        </w:rPr>
      </w:pPr>
      <w:r>
        <w:rPr>
          <w:rFonts w:ascii="PT Astra Serif" w:hAnsi="PT Astra Serif" w:cs="PT Astra Serif"/>
          <w:sz w:val="24"/>
          <w:szCs w:val="24"/>
        </w:rPr>
        <w:t xml:space="preserve">При этом</w:t>
      </w:r>
      <w:r>
        <w:rPr>
          <w:rFonts w:ascii="PT Astra Serif" w:hAnsi="PT Astra Serif" w:cs="PT Astra Serif"/>
          <w:sz w:val="24"/>
          <w:szCs w:val="24"/>
        </w:rPr>
        <w:t xml:space="preserve"> в ходе кадастровых работ иногда выявлялись случаи, когда границы и площадь участков и строений на них, указанные в документах на недвижимость, не соответствовали фактическому положению. В таком случае специалисты корректировали данные реестра недвижимости</w:t>
      </w:r>
      <w:r>
        <w:rPr>
          <w:rFonts w:ascii="PT Astra Serif" w:hAnsi="PT Astra Serif" w:cs="PT Astra Serif"/>
          <w:sz w:val="24"/>
          <w:szCs w:val="24"/>
        </w:rPr>
        <w:t xml:space="preserve"> так, чтобы данные реестра не расходились с фактическими границами и площадью участка и строений на нем.</w:t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  <w:highlight w:val="none"/>
        </w:rPr>
      </w:r>
    </w:p>
    <w:p>
      <w:pPr>
        <w:ind w:left="0" w:right="0" w:firstLine="0"/>
        <w:jc w:val="both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cs="PT Astra Serif"/>
          <w:sz w:val="24"/>
          <w:szCs w:val="24"/>
          <w:highlight w:val="none"/>
        </w:rPr>
        <w:t xml:space="preserve">Всего исправлено </w:t>
      </w:r>
      <w:r>
        <w:rPr>
          <w:rFonts w:ascii="PT Astra Serif" w:hAnsi="PT Astra Serif" w:cs="PT Astra Serif"/>
          <w:sz w:val="24"/>
          <w:szCs w:val="24"/>
          <w:highlight w:val="none"/>
        </w:rPr>
        <w:t xml:space="preserve"> более 10 тысяч ошибок (почти 7 тысяч по участкам и более 3,5 тысяч по строениям), кроме того, специалисты уточнили местоположение более 8 тысяч объектов недвижимости.</w:t>
      </w:r>
      <w:r>
        <w:rPr>
          <w:rFonts w:ascii="PT Astra Serif" w:hAnsi="PT Astra Serif" w:cs="PT Astra Serif"/>
          <w:sz w:val="24"/>
          <w:szCs w:val="24"/>
          <w:highlight w:val="none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0" w:right="0" w:firstLine="0"/>
        <w:jc w:val="both"/>
      </w:pPr>
      <w:r>
        <w:rPr>
          <w:rFonts w:ascii="PT Astra Serif" w:hAnsi="PT Astra Serif" w:cs="PT Astra Serif"/>
          <w:sz w:val="24"/>
          <w:szCs w:val="24"/>
        </w:rPr>
        <w:t xml:space="preserve">К</w:t>
      </w:r>
      <w:r>
        <w:rPr>
          <w:rFonts w:ascii="PT Astra Serif" w:hAnsi="PT Astra Serif" w:cs="PT Astra Serif"/>
          <w:sz w:val="24"/>
          <w:szCs w:val="24"/>
        </w:rPr>
        <w:t xml:space="preserve">ак поясняет заместитель руководителя Управления Росреестра по Иркутской области Лариса Михайловна Варфоломеева, такая процедура действительно предусмотрена законодательством, она применяется при небольших изменениях конфигурации границ или площади участков</w:t>
      </w:r>
      <w:r>
        <w:rPr>
          <w:rFonts w:ascii="PT Astra Serif" w:hAnsi="PT Astra Serif" w:cs="PT Astra Serif"/>
          <w:sz w:val="24"/>
          <w:szCs w:val="24"/>
        </w:rPr>
        <w:t xml:space="preserve">. При этом соответствующие корректировки при необходимости вносятся и в данные о соседних участках, это значит, что в ходе таких работ устраняются все имеющиеся ошибки: противоречия, наложения границ участков и т.д.</w:t>
      </w:r>
      <w:r>
        <w:rPr>
          <w:rFonts w:ascii="PT Astra Serif" w:hAnsi="PT Astra Serif" w:cs="PT Astra Serif"/>
          <w:sz w:val="24"/>
          <w:szCs w:val="24"/>
        </w:rPr>
      </w:r>
      <w:r/>
    </w:p>
    <w:p>
      <w:pPr>
        <w:ind w:left="0" w:right="0" w:firstLine="0"/>
        <w:jc w:val="both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cs="PT Astra Serif"/>
          <w:sz w:val="24"/>
          <w:szCs w:val="24"/>
        </w:rPr>
        <w:t xml:space="preserve">Т</w:t>
      </w:r>
      <w:r>
        <w:rPr>
          <w:rFonts w:ascii="PT Astra Serif" w:hAnsi="PT Astra Serif" w:cs="PT Astra Serif"/>
          <w:sz w:val="24"/>
          <w:szCs w:val="24"/>
        </w:rPr>
        <w:t xml:space="preserve">аким образом, если вы обнаружили, что площадь вашего участка незначительно изменилась в ходе проведения комплексных кадастровых работ, не волнуйтесь, это следствие исправления накопившихся за долгие годы неточностей, то есть сведения о вашем и соседних уч</w:t>
      </w:r>
      <w:r>
        <w:rPr>
          <w:rFonts w:ascii="PT Astra Serif" w:hAnsi="PT Astra Serif" w:cs="PT Astra Serif"/>
          <w:sz w:val="24"/>
          <w:szCs w:val="24"/>
        </w:rPr>
        <w:t xml:space="preserve">астках приведены в соответствие фактически сложившейся на вашей территории ситуации.</w:t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ans" w:hAnsi="PT Astra Sans" w:cs="PT Astra Sans"/>
          <w:bCs/>
          <w:i/>
          <w:sz w:val="22"/>
          <w:szCs w:val="22"/>
        </w:rPr>
      </w:pPr>
      <w:r>
        <w:rPr>
          <w:rFonts w:ascii="PT Astra Sans" w:hAnsi="PT Astra Sans" w:eastAsia="PT Astra Sans" w:cs="PT Astra Sans"/>
          <w:i/>
          <w:iCs/>
          <w:sz w:val="22"/>
          <w:szCs w:val="22"/>
          <w:highlight w:val="none"/>
        </w:rPr>
      </w:r>
      <w:r>
        <w:rPr>
          <w:rFonts w:ascii="PT Astra Sans" w:hAnsi="PT Astra Sans" w:cs="PT Astra Sans"/>
          <w:bCs/>
          <w:i/>
          <w:sz w:val="22"/>
          <w:szCs w:val="22"/>
        </w:rPr>
      </w:r>
      <w:r>
        <w:rPr>
          <w:rFonts w:ascii="PT Astra Sans" w:hAnsi="PT Astra Sans" w:cs="PT Astra Sans"/>
          <w:bCs/>
          <w:i/>
          <w:sz w:val="22"/>
          <w:szCs w:val="22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ans" w:hAnsi="PT Astra Sans" w:eastAsia="PT Astra Sans" w:cs="PT Astra Sans"/>
          <w:bCs/>
          <w:i/>
          <w:sz w:val="22"/>
          <w:szCs w:val="22"/>
          <w:highlight w:val="none"/>
        </w:rPr>
      </w:pPr>
      <w:r>
        <w:rPr>
          <w:rFonts w:ascii="PT Astra Sans" w:hAnsi="PT Astra Sans" w:eastAsia="PT Astra Sans" w:cs="PT Astra Sans"/>
          <w:i/>
          <w:iCs/>
          <w:sz w:val="22"/>
          <w:szCs w:val="22"/>
          <w:highlight w:val="none"/>
        </w:rPr>
        <w:t xml:space="preserve">Пресс-служба Управления Росреестра по Иркутской области</w:t>
      </w:r>
      <w:r>
        <w:rPr>
          <w:rFonts w:ascii="PT Astra Sans" w:hAnsi="PT Astra Sans" w:eastAsia="PT Astra Sans" w:cs="PT Astra Sans"/>
          <w:bCs/>
          <w:i/>
          <w:sz w:val="22"/>
          <w:szCs w:val="22"/>
          <w:highlight w:val="none"/>
        </w:rPr>
      </w:r>
      <w:r>
        <w:rPr>
          <w:rFonts w:ascii="PT Astra Sans" w:hAnsi="PT Astra Sans" w:eastAsia="PT Astra Sans" w:cs="PT Astra Sans"/>
          <w:bCs/>
          <w:i/>
          <w:sz w:val="22"/>
          <w:szCs w:val="22"/>
          <w:highlight w:val="none"/>
        </w:rPr>
      </w:r>
    </w:p>
    <w:sectPr>
      <w:footnotePr/>
      <w:endnotePr/>
      <w:type w:val="nextPage"/>
      <w:pgSz w:w="11906" w:h="16838" w:orient="portrait"/>
      <w:pgMar w:top="851" w:right="849" w:bottom="426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ans">
    <w:panose1 w:val="020B0603020203020204"/>
  </w:font>
  <w:font w:name="Times New Roman">
    <w:panose1 w:val="02020603050405020304"/>
  </w:font>
  <w:font w:name="Inter V">
    <w:panose1 w:val="02000603000000000000"/>
  </w:font>
  <w:font w:name="Segoe UI">
    <w:panose1 w:val="020B050204050402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1"/>
    <w:next w:val="831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2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1"/>
    <w:next w:val="831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2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2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2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2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2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2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2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1"/>
    <w:next w:val="831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2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1"/>
    <w:next w:val="831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2"/>
    <w:link w:val="675"/>
    <w:uiPriority w:val="10"/>
    <w:rPr>
      <w:sz w:val="48"/>
      <w:szCs w:val="48"/>
    </w:rPr>
  </w:style>
  <w:style w:type="paragraph" w:styleId="677">
    <w:name w:val="Subtitle"/>
    <w:basedOn w:val="831"/>
    <w:next w:val="831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2"/>
    <w:link w:val="677"/>
    <w:uiPriority w:val="11"/>
    <w:rPr>
      <w:sz w:val="24"/>
      <w:szCs w:val="24"/>
    </w:rPr>
  </w:style>
  <w:style w:type="paragraph" w:styleId="679">
    <w:name w:val="Quote"/>
    <w:basedOn w:val="831"/>
    <w:next w:val="831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1"/>
    <w:next w:val="831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1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basedOn w:val="832"/>
    <w:link w:val="683"/>
    <w:uiPriority w:val="99"/>
  </w:style>
  <w:style w:type="paragraph" w:styleId="685">
    <w:name w:val="Footer"/>
    <w:basedOn w:val="831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basedOn w:val="832"/>
    <w:link w:val="685"/>
    <w:uiPriority w:val="99"/>
  </w:style>
  <w:style w:type="paragraph" w:styleId="687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6" w:customStyle="1">
    <w:name w:val="Текст выноски Знак"/>
    <w:basedOn w:val="832"/>
    <w:link w:val="835"/>
    <w:uiPriority w:val="99"/>
    <w:semiHidden/>
    <w:rPr>
      <w:rFonts w:ascii="Segoe UI" w:hAnsi="Segoe UI" w:cs="Segoe UI"/>
      <w:sz w:val="18"/>
      <w:szCs w:val="18"/>
    </w:rPr>
  </w:style>
  <w:style w:type="character" w:styleId="837">
    <w:name w:val="Hyperlink"/>
    <w:basedOn w:val="832"/>
    <w:uiPriority w:val="99"/>
    <w:unhideWhenUsed/>
    <w:rPr>
      <w:color w:val="0563c1" w:themeColor="hyperlink"/>
      <w:u w:val="single"/>
    </w:rPr>
  </w:style>
  <w:style w:type="paragraph" w:styleId="838">
    <w:name w:val="List Paragraph"/>
    <w:basedOn w:val="831"/>
    <w:uiPriority w:val="34"/>
    <w:qFormat/>
    <w:pPr>
      <w:contextualSpacing/>
      <w:ind w:left="720"/>
    </w:pPr>
  </w:style>
  <w:style w:type="table" w:styleId="839">
    <w:name w:val="Table Grid"/>
    <w:basedOn w:val="83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0" w:customStyle="1">
    <w:name w:val="object"/>
    <w:basedOn w:val="832"/>
  </w:style>
  <w:style w:type="paragraph" w:styleId="841">
    <w:name w:val="Normal (Web)"/>
    <w:basedOn w:val="83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2">
    <w:name w:val="Strong"/>
    <w:basedOn w:val="832"/>
    <w:uiPriority w:val="22"/>
    <w:qFormat/>
    <w:rPr>
      <w:b/>
      <w:bCs/>
    </w:rPr>
  </w:style>
  <w:style w:type="character" w:styleId="843">
    <w:name w:val="Emphasis"/>
    <w:basedOn w:val="832"/>
    <w:uiPriority w:val="20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30731-50C2-48B4-ABE6-4C8323D0F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revision>25</cp:revision>
  <dcterms:created xsi:type="dcterms:W3CDTF">2024-02-13T03:39:00Z</dcterms:created>
  <dcterms:modified xsi:type="dcterms:W3CDTF">2025-02-12T01:45:05Z</dcterms:modified>
</cp:coreProperties>
</file>