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26 декабря 2024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PT Astra Sans" w:hAnsi="PT Astra Sans" w:cs="PT Astra Sans"/>
          <w:b/>
          <w:bCs/>
          <w:sz w:val="22"/>
          <w:szCs w:val="22"/>
        </w:rPr>
      </w:pPr>
      <w:r>
        <w:rPr>
          <w:rFonts w:ascii="PT Astra Sans" w:hAnsi="PT Astra Sans" w:eastAsia="PT Astra Sans" w:cs="PT Astra Sans"/>
          <w:b/>
          <w:sz w:val="22"/>
          <w:szCs w:val="22"/>
          <w:highlight w:val="none"/>
        </w:rPr>
      </w:r>
      <w:r>
        <w:rPr>
          <w:rFonts w:ascii="PT Astra Sans" w:hAnsi="PT Astra Sans" w:eastAsia="PT Astra Sans" w:cs="PT Astra Sans"/>
          <w:b/>
          <w:sz w:val="22"/>
          <w:szCs w:val="22"/>
          <w:highlight w:val="none"/>
        </w:rPr>
      </w:r>
    </w:p>
    <w:p>
      <w:pPr>
        <w:rPr>
          <w:rFonts w:ascii="PT Astra Sans" w:hAnsi="PT Astra Sans" w:eastAsia="PT Astra Sans" w:cs="PT Astra Sans"/>
          <w:b/>
          <w:bCs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b/>
          <w:sz w:val="22"/>
          <w:szCs w:val="22"/>
        </w:rPr>
        <w:t xml:space="preserve">Как получить информацию о кадастровой стоимости вашей недвижимости</w:t>
      </w:r>
      <w:r>
        <w:rPr>
          <w:rFonts w:ascii="PT Astra Sans" w:hAnsi="PT Astra Sans" w:cs="PT Astra Sans"/>
          <w:b/>
          <w:bCs/>
          <w:sz w:val="22"/>
          <w:szCs w:val="22"/>
        </w:rPr>
      </w:r>
      <w:r>
        <w:rPr>
          <w:rFonts w:ascii="PT Astra Sans" w:hAnsi="PT Astra Sans" w:cs="PT Astra Sans"/>
          <w:b/>
          <w:bCs/>
          <w:sz w:val="22"/>
          <w:szCs w:val="22"/>
        </w:rPr>
      </w:r>
    </w:p>
    <w:p>
      <w:pPr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В Управление Росреестра поступает множество звонков и обращений от жителей Иркутской области с вопросом о том, почему в выписке из реестра недвижимости отсутствует кадастровая стоимость объекта.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Р</w:t>
      </w: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ечь идет о ситуациях, когда заявитель ставит свой объект недвижимости на кадастровый учет и в результате получает выписку об основных характеристиках и зарегистрированных правах на объект недвижимости. В таких выписках, действительно, нет сведений о кадаст</w:t>
      </w: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ровой стоимости. 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Порядок определения кадастровой стоимости вновь учтенных объектов недвижимости установлен законом «О государственной кадастровой оценке». Для процедуры определения кадастровой стоимости закон отводит 21 рабочий день.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Такой же порядок действует и в ситуации, когда происходит изменение основных характеристик объекта недвижимости, после чего происходит изменение кадастровой стоимости недвижимости.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О</w:t>
      </w: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сновные характеристики, изменение которых может повлиять на изменение размера кадастровой стоимости: площадь, вид разрешенного использования, назначение объекта, уточнение местоположения объекта, материал стен и др. В указанных случаях измененная к</w:t>
      </w: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адастровая стоимость будет внесена в реестр недвижимости в течение 21 рабочего дня.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После истечения 21 дня сведения о кадастровой стоимости будут внесены в государственный реестр недвижимости, после чего при необходимости такую информацию можно запросить в виде специальной выписки из реестра.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Можно заказать «выписку из Единого государственного реестра недвижимости о кадастровой стоимости объекта недвижимости» на портале Госуслуг или обратиться в любой офис МФЦ.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Кроме того, справочную информацию о кадастровой стоимости объекта недвижимости можно получить на сайте Росреестра rosreestr.gov.ru, воспользовавшись электронными сервисами Росреестра «Справочная информация по объектам недвижимости в режиме online».</w:t>
      </w: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  <w:highlight w:val="none"/>
        </w:rPr>
      </w:pPr>
      <w:r>
        <w:rPr>
          <w:rFonts w:ascii="PT Astra Sans" w:hAnsi="PT Astra Sans" w:eastAsia="PT Astra Sans" w:cs="PT Astra Sans"/>
          <w:sz w:val="22"/>
          <w:szCs w:val="22"/>
          <w:highlight w:val="none"/>
        </w:rPr>
        <w:t xml:space="preserve">В случае, если у вас остались вопросы, связанные с кадастровой оценкой недвижимости, вы можете задать их по бесплатному справочному телефону Управления Росреестра по Иркутской области 89294310925.</w:t>
      </w:r>
      <w:r>
        <w:rPr>
          <w:rFonts w:ascii="PT Astra Sans" w:hAnsi="PT Astra Sans" w:cs="PT Astra Sans"/>
          <w:sz w:val="22"/>
          <w:szCs w:val="22"/>
          <w:highlight w:val="none"/>
        </w:rPr>
      </w:r>
      <w:r>
        <w:rPr>
          <w:rFonts w:ascii="PT Astra Sans" w:hAnsi="PT Astra Sans" w:cs="PT Astra Sans"/>
          <w:sz w:val="22"/>
          <w:szCs w:val="22"/>
          <w:highlight w:val="none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sz w:val="22"/>
          <w:szCs w:val="22"/>
        </w:rPr>
      </w:pPr>
      <w:r>
        <w:rPr>
          <w:rFonts w:ascii="PT Astra Sans" w:hAnsi="PT Astra Sans" w:eastAsia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  <w:r>
        <w:rPr>
          <w:rFonts w:ascii="PT Astra Sans" w:hAnsi="PT Astra Sans" w:cs="PT Astra Sans"/>
          <w:sz w:val="22"/>
          <w:szCs w:val="22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ans" w:hAnsi="PT Astra Sans" w:cs="PT Astra Sans"/>
          <w:bCs/>
          <w:i/>
          <w:sz w:val="22"/>
          <w:szCs w:val="22"/>
        </w:rPr>
      </w:pPr>
      <w:r>
        <w:rPr>
          <w:rFonts w:ascii="PT Astra Sans" w:hAnsi="PT Astra Sans" w:eastAsia="PT Astra Sans" w:cs="PT Astra Sans"/>
          <w:i/>
          <w:iCs/>
          <w:sz w:val="22"/>
          <w:szCs w:val="22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ans" w:hAnsi="PT Astra Sans" w:cs="PT Astra Sans"/>
          <w:bCs/>
          <w:i/>
          <w:sz w:val="22"/>
          <w:szCs w:val="22"/>
        </w:rPr>
      </w:r>
      <w:r>
        <w:rPr>
          <w:rFonts w:ascii="PT Astra Sans" w:hAnsi="PT Astra Sans" w:cs="PT Astra Sans"/>
          <w:bCs/>
          <w:i/>
          <w:sz w:val="22"/>
          <w:szCs w:val="22"/>
        </w:rPr>
      </w:r>
    </w:p>
    <w:p>
      <w:pPr>
        <w:rPr>
          <w:rFonts w:ascii="PT Astra Sans" w:hAnsi="PT Astra Sans" w:cs="PT Astra Sans"/>
          <w:b/>
          <w:bCs/>
          <w:sz w:val="26"/>
          <w:szCs w:val="26"/>
        </w:rPr>
      </w:pPr>
      <w:r>
        <w:rPr>
          <w:rFonts w:ascii="PT Astra Sans" w:hAnsi="PT Astra Sans" w:eastAsia="PT Astra Sans" w:cs="PT Astra Sans"/>
          <w:b/>
          <w:sz w:val="26"/>
          <w:szCs w:val="26"/>
        </w:rPr>
      </w:r>
      <w:r>
        <w:rPr>
          <w:rFonts w:ascii="PT Astra Sans" w:hAnsi="PT Astra Sans" w:cs="PT Astra Sans"/>
          <w:b/>
          <w:bCs/>
          <w:sz w:val="26"/>
          <w:szCs w:val="26"/>
        </w:rPr>
      </w:r>
      <w:r>
        <w:rPr>
          <w:rFonts w:ascii="PT Astra Sans" w:hAnsi="PT Astra Sans" w:cs="PT Astra Sans"/>
          <w:b/>
          <w:bCs/>
          <w:sz w:val="26"/>
          <w:szCs w:val="26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  <w:r>
        <w:rPr>
          <w:rFonts w:ascii="Arial" w:hAnsi="Arial" w:cs="Arial"/>
          <w:i/>
          <w:iCs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16</cp:revision>
  <dcterms:created xsi:type="dcterms:W3CDTF">2024-02-13T03:39:00Z</dcterms:created>
  <dcterms:modified xsi:type="dcterms:W3CDTF">2024-12-26T00:50:28Z</dcterms:modified>
</cp:coreProperties>
</file>